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850" w:leftChars="-405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《交互设计实训》课程线上学习方案</w:t>
      </w:r>
    </w:p>
    <w:p>
      <w:pPr>
        <w:spacing w:line="360" w:lineRule="auto"/>
        <w:ind w:left="-850" w:leftChars="-405"/>
        <w:rPr>
          <w:rFonts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一、课程基本信息</w:t>
      </w:r>
    </w:p>
    <w:tbl>
      <w:tblPr>
        <w:tblStyle w:val="4"/>
        <w:tblpPr w:leftFromText="180" w:rightFromText="180" w:vertAnchor="text" w:horzAnchor="page" w:tblpX="1600" w:tblpY="339"/>
        <w:tblOverlap w:val="never"/>
        <w:tblW w:w="8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559"/>
        <w:gridCol w:w="1843"/>
        <w:gridCol w:w="37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hint="eastAsia" w:ascii="宋体" w:cs="Tahom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宋体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hint="eastAsia" w:ascii="宋体" w:hAnsi="宋体" w:cs="Tahom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</w:t>
            </w:r>
            <w:r>
              <w:rPr>
                <w:rFonts w:hint="eastAsia" w:ascii="宋体" w:hAnsi="宋体" w:cs="Tahoma"/>
                <w:bCs/>
                <w:sz w:val="24"/>
              </w:rPr>
              <w:t>7版人才培养方案艺术与科技专业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宋体"/>
                <w:sz w:val="24"/>
                <w:lang w:val="zh-CN"/>
              </w:rPr>
              <w:t>18Z06021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320学时</w:t>
            </w:r>
            <w:r>
              <w:rPr>
                <w:rFonts w:ascii="宋体" w:hAnsi="宋体" w:cs="Tahoma"/>
                <w:spacing w:val="-20"/>
                <w:sz w:val="24"/>
              </w:rPr>
              <w:t>(</w:t>
            </w:r>
            <w:r>
              <w:rPr>
                <w:rFonts w:hint="eastAsia" w:ascii="宋体" w:hAnsi="宋体" w:cs="Tahoma"/>
                <w:spacing w:val="-20"/>
                <w:sz w:val="24"/>
              </w:rPr>
              <w:t>理论40；课内实践280</w:t>
            </w:r>
            <w:r>
              <w:rPr>
                <w:rFonts w:ascii="宋体" w:hAnsi="宋体" w:cs="Tahoma"/>
                <w:spacing w:val="-20"/>
                <w:sz w:val="24"/>
              </w:rPr>
              <w:t xml:space="preserve">) </w:t>
            </w:r>
            <w:r>
              <w:rPr>
                <w:rFonts w:hint="eastAsia" w:ascii="宋体" w:hAnsi="宋体" w:cs="Tahoma"/>
                <w:spacing w:val="-20"/>
                <w:sz w:val="24"/>
              </w:rPr>
              <w:t>1</w:t>
            </w:r>
            <w:r>
              <w:rPr>
                <w:rFonts w:hint="eastAsia" w:ascii="宋体" w:hAnsi="宋体" w:cs="Tahoma"/>
                <w:spacing w:val="-2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Tahoma"/>
                <w:spacing w:val="-20"/>
                <w:sz w:val="24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27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18"/>
                <w:szCs w:val="18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考查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第六学期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>
      <w:pPr>
        <w:spacing w:line="360" w:lineRule="auto"/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二、</w:t>
      </w:r>
      <w:r>
        <w:rPr>
          <w:rFonts w:hint="eastAsia" w:ascii="仿宋" w:hAnsi="仿宋" w:eastAsia="仿宋"/>
          <w:b/>
          <w:sz w:val="32"/>
          <w:szCs w:val="32"/>
        </w:rPr>
        <w:t>线上课程学习内容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第一章 感知移动设备</w:t>
      </w:r>
      <w:r>
        <w:rPr>
          <w:rFonts w:hint="eastAsia"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 6学时</w:t>
      </w:r>
    </w:p>
    <w:p>
      <w:pPr>
        <w:widowControl/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第一节 移动设计的特点</w:t>
      </w:r>
    </w:p>
    <w:p>
      <w:pPr>
        <w:widowControl/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第二节 移动设计的创新——互联网思维</w:t>
      </w:r>
    </w:p>
    <w:p>
      <w:pPr>
        <w:widowControl/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第三节 移动设备中的人机交互   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第四节 移动应用的生命周期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第二章 用户体验与UI交互设计  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6学时</w:t>
      </w:r>
    </w:p>
    <w:p>
      <w:pPr>
        <w:widowControl/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第一节 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如何将用户体验做到极致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第二节</w:t>
      </w:r>
      <w:r>
        <w:rPr>
          <w:rFonts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UI设计基本术语和常识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第三节 移动产品原型设计工具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第四节 UI交互设计的三大模型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第五节 用户体验设计的三大流程</w:t>
      </w:r>
    </w:p>
    <w:p>
      <w:pPr>
        <w:widowControl/>
        <w:spacing w:line="300" w:lineRule="auto"/>
        <w:ind w:firstLine="562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第三章 移动产品的创意和原型草图设计</w:t>
      </w:r>
      <w:r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8学时</w:t>
      </w:r>
      <w:r>
        <w:rPr>
          <w:rFonts w:hint="eastAsia" w:ascii="宋体" w:hAnsi="宋体" w:eastAsia="宋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 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第一节 移动产品的创意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第二节 如何确定产品的市场定位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第三节 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用户研究方法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第四节 移动产品的需求分析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第五节 如何进行痛点分析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第六节 头脑风暴与思维导图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第七节 如何绘制原型草图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第八节 如何进行原型草图的可用性测试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第四章 移动产品中的中保真原型</w:t>
      </w:r>
      <w:r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4学时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第一节 移动产品的图标设计规范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第二节 移动产品的色彩设计规范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第三节 移动产品的文字使用规范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第四节 移动产品的布局规范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第五章 高保真原型视觉设计</w:t>
      </w:r>
      <w:r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8学时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第一节 如何利用图形划分区域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第二节 界面设计中色彩的语言和情感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第三节 界面中的用色规律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第四节 界面中的文字使用技巧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第五节 数字界面的三大风格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第六节 界面中的图标设计技巧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第七节 移动应用中特殊界面的设计技巧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第六章 移动产品原型设计之AxureRP</w:t>
      </w:r>
      <w:r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8学时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第一节 快速了解Axure8.0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第二节 Axure高保真原型设计交互基础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第三节 Axure中流程图页面的使用技巧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第四节 Axure中如何使用动态面板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第五节 Axure中如何使用动态面板实现图片轮播效果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线上课程学习形式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超星学习通授课，课后QQ线上辅导、答疑。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线上课程安排</w:t>
      </w:r>
    </w:p>
    <w:p>
      <w:pPr>
        <w:spacing w:line="300" w:lineRule="auto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1-4周（3月2日——3月27日），10节/周，2节/天。线上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教学完成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理论学时：40学时，开学后完成其余280学时实践指导。</w:t>
      </w:r>
    </w:p>
    <w:p>
      <w:pPr>
        <w:spacing w:line="300" w:lineRule="auto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线上实践学时采用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QQ群，线上分组或者一对一进行项目实践的相关文件修改反馈与指导。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五、作业和考核要求</w:t>
      </w:r>
      <w:bookmarkStart w:id="0" w:name="_GoBack"/>
      <w:bookmarkEnd w:id="0"/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业一：以抗击“新冠肺炎”疫情为内容开展自主创作，围绕国家权威媒体发布的有关抗疫防疫的政策文件、新闻素材开展内容为抗疫防疫相关知识科普宣传；弘扬正能量，歌颂奋战在抗疫第一线的医务等各行业工作者；围绕抗疫防疫的创新概念设计，如新型防疫口罩、防护服、临时医院等概念设计等内容的艺术创作；围绕疫情对群众生活带来的影响，结合热点事件，放宽角度和视野，创作相关内容。如：“疫情过后的生活状态”，“大学生抗疫十二时辰”，“xx专业在家的一天”，或结合疫情形势围绕专业特点进行创作等。作品形式结合所学专业自定作品形式，例如漫画、插画、海报设计、新媒体短视频、新媒体动画、设计方案图文展板、H5等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作业二：完成吉林动画学院智慧校园APP——智慧学习模块项目最后的部分： DEMO动态展示方案、高保真演示原型。</w:t>
      </w:r>
    </w:p>
    <w:p>
      <w:pPr>
        <w:spacing w:line="300" w:lineRule="auto"/>
        <w:ind w:firstLine="560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课外作业：自主命题项目设计方案。要求</w:t>
      </w: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提交80*160cm展板一张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六、监管方式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1、线上签到，检验学生在线状态。 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2、线上随机布置小测验，监控学习听讲状态。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七、线上教学、考勤、辅导、答疑形式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1、利用超星学习通进行线上教学，教学期间学生禁言。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2、教师线上随机考勤，检验学生学习状态。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3、根据所学知识点、讨论部分内容，在线完成相关笔记和形成文字记录材料。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4、辅导为学生在群上以接龙形式进行提问，老师统一答疑，对学生上交作品，进行一对一私聊交流。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72532"/>
    <w:rsid w:val="000F5B37"/>
    <w:rsid w:val="004C7640"/>
    <w:rsid w:val="009E2539"/>
    <w:rsid w:val="00CA4653"/>
    <w:rsid w:val="00E45B4A"/>
    <w:rsid w:val="00ED4C6B"/>
    <w:rsid w:val="06BA000F"/>
    <w:rsid w:val="6587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232</Words>
  <Characters>1329</Characters>
  <Lines>11</Lines>
  <Paragraphs>3</Paragraphs>
  <TotalTime>44</TotalTime>
  <ScaleCrop>false</ScaleCrop>
  <LinksUpToDate>false</LinksUpToDate>
  <CharactersWithSpaces>1558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2020-02-14T13:25:00Z</dcterms:created>
  <dc:creator>旬恂</dc:creator>
  <cp:lastModifiedBy>旬恂</cp:lastModifiedBy>
  <dcterms:modified xsi:type="dcterms:W3CDTF">2020-02-17T07:08:57Z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